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DE" w:rsidRPr="0088030A" w:rsidRDefault="007211DE" w:rsidP="007211DE">
      <w:pPr>
        <w:pStyle w:val="3"/>
        <w:jc w:val="center"/>
        <w:rPr>
          <w:color w:val="002060"/>
          <w:sz w:val="28"/>
          <w:szCs w:val="28"/>
        </w:rPr>
      </w:pPr>
      <w:r w:rsidRPr="0088030A">
        <w:rPr>
          <w:color w:val="002060"/>
          <w:sz w:val="28"/>
          <w:szCs w:val="28"/>
        </w:rPr>
        <w:t>ΕΝΤΥΠΟ ΠΡΟΣΦΟΡΑΣ</w:t>
      </w:r>
    </w:p>
    <w:tbl>
      <w:tblPr>
        <w:tblW w:w="9639" w:type="dxa"/>
        <w:tblLayout w:type="fixed"/>
        <w:tblLook w:val="0000"/>
      </w:tblPr>
      <w:tblGrid>
        <w:gridCol w:w="2757"/>
        <w:gridCol w:w="6882"/>
      </w:tblGrid>
      <w:tr w:rsidR="007211DE" w:rsidRPr="007E6DE2" w:rsidTr="00A62BA1">
        <w:trPr>
          <w:cantSplit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1DE" w:rsidRPr="007E6DE2" w:rsidRDefault="007211DE" w:rsidP="00A62BA1">
            <w:pPr>
              <w:spacing w:after="0"/>
            </w:pPr>
            <w:r w:rsidRPr="007E6DE2">
              <w:t>ΣΤΟΙΧΕΙΑ ΠΡΟΣΦΕΡΟΝΤΟΣ:</w:t>
            </w: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</w:tcPr>
          <w:p w:rsidR="007211DE" w:rsidRPr="007E6DE2" w:rsidRDefault="007211DE" w:rsidP="00A62BA1">
            <w:pPr>
              <w:spacing w:after="0"/>
            </w:pPr>
          </w:p>
          <w:p w:rsidR="007211DE" w:rsidRPr="007E6DE2" w:rsidRDefault="007211DE" w:rsidP="00A62BA1">
            <w:pPr>
              <w:spacing w:after="0"/>
            </w:pPr>
            <w:r w:rsidRPr="007E6DE2">
              <w:t>…………………………………………………………………………………</w:t>
            </w:r>
          </w:p>
          <w:p w:rsidR="007211DE" w:rsidRPr="007E6DE2" w:rsidRDefault="007211DE" w:rsidP="00A62BA1">
            <w:pPr>
              <w:spacing w:after="0"/>
            </w:pPr>
          </w:p>
          <w:p w:rsidR="007211DE" w:rsidRPr="007E6DE2" w:rsidRDefault="007211DE" w:rsidP="00A62BA1">
            <w:pPr>
              <w:spacing w:after="0"/>
            </w:pPr>
            <w:r w:rsidRPr="007E6DE2">
              <w:t>…………………………………………………………………………………</w:t>
            </w:r>
          </w:p>
        </w:tc>
      </w:tr>
    </w:tbl>
    <w:p w:rsidR="007211DE" w:rsidRPr="007E6DE2" w:rsidRDefault="007211DE" w:rsidP="007211DE">
      <w:pPr>
        <w:spacing w:after="0"/>
        <w:rPr>
          <w:b/>
          <w:bCs/>
        </w:rPr>
      </w:pPr>
    </w:p>
    <w:p w:rsidR="007211DE" w:rsidRPr="007E6DE2" w:rsidRDefault="007211DE" w:rsidP="007211DE">
      <w:pPr>
        <w:rPr>
          <w:b/>
          <w:bCs/>
          <w:lang w:val="el-GR"/>
        </w:rPr>
      </w:pPr>
      <w:r w:rsidRPr="007E6DE2">
        <w:rPr>
          <w:b/>
          <w:bCs/>
          <w:lang w:val="el-GR"/>
        </w:rPr>
        <w:t>ΤΙΜΟΛΟΓΙΟ ΠΡΟΣΦΟΡΑΣ</w:t>
      </w:r>
    </w:p>
    <w:p w:rsidR="007211DE" w:rsidRPr="007E6DE2" w:rsidRDefault="007211DE" w:rsidP="007211DE">
      <w:pPr>
        <w:rPr>
          <w:b/>
          <w:bCs/>
          <w:lang w:val="el-GR"/>
        </w:rPr>
      </w:pPr>
      <w:r w:rsidRPr="007E6DE2">
        <w:rPr>
          <w:b/>
          <w:bCs/>
          <w:lang w:val="el-GR"/>
        </w:rPr>
        <w:t>Άρθρο 1ο</w:t>
      </w:r>
    </w:p>
    <w:p w:rsidR="007211DE" w:rsidRDefault="007211DE" w:rsidP="007211DE">
      <w:pPr>
        <w:rPr>
          <w:lang w:val="el-GR"/>
        </w:rPr>
      </w:pPr>
      <w:r w:rsidRPr="007E6DE2">
        <w:rPr>
          <w:lang w:val="el-GR"/>
        </w:rPr>
        <w:t xml:space="preserve">Εφαρμογή της μεθόδου </w:t>
      </w:r>
      <w:proofErr w:type="spellStart"/>
      <w:r w:rsidRPr="007E6DE2">
        <w:rPr>
          <w:lang w:val="el-GR"/>
        </w:rPr>
        <w:t>βιοενίσχυσης</w:t>
      </w:r>
      <w:proofErr w:type="spellEnd"/>
      <w:r w:rsidRPr="007E6DE2">
        <w:rPr>
          <w:lang w:val="el-GR"/>
        </w:rPr>
        <w:t xml:space="preserve"> για τη μείωση της παραγόμενης ιλύος στην Ε.Ε.Λ. </w:t>
      </w:r>
      <w:r>
        <w:rPr>
          <w:lang w:val="el-GR"/>
        </w:rPr>
        <w:t>Αγρινίου</w:t>
      </w:r>
      <w:r w:rsidRPr="007E6DE2">
        <w:rPr>
          <w:lang w:val="el-GR"/>
        </w:rPr>
        <w:t xml:space="preserve"> </w:t>
      </w:r>
      <w:r>
        <w:rPr>
          <w:lang w:val="el-GR" w:eastAsia="ar-SA"/>
        </w:rPr>
        <w:t>τουλάχιστον κατά 40% σε σχέση με την</w:t>
      </w:r>
      <w:r w:rsidRPr="006522FA">
        <w:rPr>
          <w:lang w:val="el-GR" w:eastAsia="ar-SA"/>
        </w:rPr>
        <w:t xml:space="preserve"> </w:t>
      </w:r>
      <w:r>
        <w:rPr>
          <w:lang w:val="el-GR"/>
        </w:rPr>
        <w:t>ποσότητα που παράγεται</w:t>
      </w:r>
      <w:r w:rsidRPr="006522FA">
        <w:rPr>
          <w:lang w:val="el-GR"/>
        </w:rPr>
        <w:t xml:space="preserve"> υπό συμβατικές συνθήκες λειτουργίας</w:t>
      </w:r>
      <w:r>
        <w:rPr>
          <w:lang w:val="el-GR"/>
        </w:rPr>
        <w:t>,</w:t>
      </w:r>
      <w:r w:rsidRPr="007E6DE2">
        <w:rPr>
          <w:lang w:val="el-GR"/>
        </w:rPr>
        <w:t xml:space="preserve"> και συνολική διαχείριση </w:t>
      </w:r>
      <w:r w:rsidRPr="00C72E8C">
        <w:rPr>
          <w:lang w:val="el-GR"/>
        </w:rPr>
        <w:t xml:space="preserve">της πλεονάζουσας περίσσειας αφυδατωμένης ιλύος, </w:t>
      </w:r>
      <w:r>
        <w:rPr>
          <w:lang w:val="el-GR"/>
        </w:rPr>
        <w:t>σύμφωνα με τους όρους των συμβατικών τευχών.</w:t>
      </w:r>
    </w:p>
    <w:p w:rsidR="007211DE" w:rsidRPr="00B7761B" w:rsidRDefault="007211DE" w:rsidP="007211DE">
      <w:pPr>
        <w:rPr>
          <w:lang w:val="el-GR"/>
        </w:rPr>
      </w:pPr>
      <w:r w:rsidRPr="00B7761B">
        <w:rPr>
          <w:lang w:val="el-GR"/>
        </w:rPr>
        <w:t xml:space="preserve">Η τιμή μονάδος αναφέρεται στη μηνιαία αξία </w:t>
      </w:r>
      <w:r>
        <w:rPr>
          <w:lang w:val="el-GR" w:eastAsia="el-GR"/>
        </w:rPr>
        <w:t>για την παροχή των υπηρεσιών στον τόπο και με τον τρόπο που προβλέπεται στα έγγραφα της σύμβασης</w:t>
      </w:r>
      <w:r w:rsidRPr="00B7761B">
        <w:rPr>
          <w:lang w:val="el-GR"/>
        </w:rPr>
        <w:t xml:space="preserve">, είναι εκφρασμένη σε ευρώ και παραμένει σταθερή καθ’ όλη τη διάρκεια των </w:t>
      </w:r>
      <w:r>
        <w:rPr>
          <w:lang w:val="el-GR"/>
        </w:rPr>
        <w:t>τεσσάρων</w:t>
      </w:r>
      <w:r w:rsidRPr="00B7761B">
        <w:rPr>
          <w:lang w:val="el-GR"/>
        </w:rPr>
        <w:t xml:space="preserve"> (</w:t>
      </w:r>
      <w:r>
        <w:rPr>
          <w:lang w:val="el-GR"/>
        </w:rPr>
        <w:t>4</w:t>
      </w:r>
      <w:r w:rsidRPr="00B7761B">
        <w:rPr>
          <w:lang w:val="el-GR"/>
        </w:rPr>
        <w:t>) μηνών της σύμβασης χωρίς δυνατότητα αναπροσαρμογής.</w:t>
      </w:r>
      <w:r>
        <w:rPr>
          <w:lang w:val="el-GR"/>
        </w:rPr>
        <w:t xml:space="preserve"> </w:t>
      </w:r>
      <w:r>
        <w:rPr>
          <w:lang w:val="el-GR" w:eastAsia="el-GR"/>
        </w:rPr>
        <w:t>Στην τιμή περιλαμβάνονται οι υπέρ τρίτων κρατήσεις, ως και κάθε άλλη επιβάρυνση, σύμφωνα με την κείμενη νομοθεσία, μη συμπεριλαμβανομένου του Φ.Π.Α.</w:t>
      </w:r>
    </w:p>
    <w:p w:rsidR="007211DE" w:rsidRPr="00C02282" w:rsidRDefault="007211DE" w:rsidP="007211DE">
      <w:pPr>
        <w:spacing w:before="240"/>
        <w:rPr>
          <w:b/>
          <w:bCs/>
          <w:lang w:val="el-GR"/>
        </w:rPr>
      </w:pPr>
      <w:r w:rsidRPr="00C02282">
        <w:rPr>
          <w:b/>
          <w:bCs/>
          <w:lang w:val="el-GR"/>
        </w:rPr>
        <w:t>ΜΟΝΑΔΑ ΜΕΤΡΗΣΗ</w:t>
      </w:r>
      <w:r>
        <w:rPr>
          <w:b/>
          <w:bCs/>
          <w:lang w:val="el-GR"/>
        </w:rPr>
        <w:t>Σ</w:t>
      </w:r>
      <w:r w:rsidRPr="00C02282">
        <w:rPr>
          <w:b/>
          <w:bCs/>
          <w:lang w:val="el-GR"/>
        </w:rPr>
        <w:t xml:space="preserve"> (Μ.Μ.) : </w:t>
      </w:r>
      <w:r w:rsidRPr="00C02282">
        <w:rPr>
          <w:lang w:val="el-GR"/>
        </w:rPr>
        <w:t>…</w:t>
      </w:r>
      <w:r w:rsidRPr="00C02282">
        <w:rPr>
          <w:i/>
          <w:iCs/>
          <w:lang w:val="el-GR"/>
        </w:rPr>
        <w:t xml:space="preserve"> Μήνας</w:t>
      </w:r>
    </w:p>
    <w:p w:rsidR="007211DE" w:rsidRPr="00C02282" w:rsidRDefault="007211DE" w:rsidP="007211DE">
      <w:pPr>
        <w:rPr>
          <w:b/>
          <w:bCs/>
          <w:lang w:val="el-GR"/>
        </w:rPr>
      </w:pPr>
      <w:r w:rsidRPr="00C02282">
        <w:rPr>
          <w:b/>
          <w:bCs/>
          <w:lang w:val="el-GR"/>
        </w:rPr>
        <w:t xml:space="preserve">ΤΙΜΗ Μ.Μ: </w:t>
      </w:r>
      <w:r>
        <w:rPr>
          <w:b/>
          <w:bCs/>
          <w:lang w:val="el-GR"/>
        </w:rPr>
        <w:t xml:space="preserve">: </w:t>
      </w:r>
      <w:r w:rsidRPr="00734AA7">
        <w:rPr>
          <w:lang w:val="el-GR"/>
        </w:rPr>
        <w:t>(ολογράφως) …………………………….., (αριθμητικώς) …………………………………</w:t>
      </w:r>
      <w:r w:rsidRPr="00C02282">
        <w:rPr>
          <w:b/>
          <w:bCs/>
          <w:lang w:val="el-GR"/>
        </w:rPr>
        <w:cr/>
      </w:r>
    </w:p>
    <w:p w:rsidR="007211DE" w:rsidRPr="007E6DE2" w:rsidRDefault="007211DE" w:rsidP="007211DE">
      <w:pPr>
        <w:rPr>
          <w:b/>
          <w:bCs/>
        </w:rPr>
      </w:pPr>
      <w:r w:rsidRPr="007E6DE2">
        <w:rPr>
          <w:b/>
          <w:bCs/>
        </w:rPr>
        <w:t>ΠΡΟΫΠΟΛΟΓΙΣΜΟΣ ΠΡΟΣΦΟΡΑΣ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298"/>
        <w:gridCol w:w="851"/>
        <w:gridCol w:w="1276"/>
        <w:gridCol w:w="2126"/>
        <w:gridCol w:w="1416"/>
      </w:tblGrid>
      <w:tr w:rsidR="007211DE" w:rsidRPr="007E6DE2" w:rsidTr="00A62BA1">
        <w:trPr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7211DE" w:rsidRPr="007E6DE2" w:rsidRDefault="007211DE" w:rsidP="00A62BA1">
            <w:pPr>
              <w:spacing w:after="0"/>
              <w:rPr>
                <w:b/>
                <w:bCs/>
                <w:szCs w:val="22"/>
                <w:lang w:eastAsia="el-GR"/>
              </w:rPr>
            </w:pPr>
            <w:r w:rsidRPr="007E6DE2">
              <w:rPr>
                <w:b/>
                <w:bCs/>
                <w:szCs w:val="22"/>
                <w:lang w:eastAsia="el-GR"/>
              </w:rPr>
              <w:t>Α/Α</w:t>
            </w:r>
          </w:p>
        </w:tc>
        <w:tc>
          <w:tcPr>
            <w:tcW w:w="3298" w:type="dxa"/>
            <w:shd w:val="clear" w:color="auto" w:fill="auto"/>
            <w:noWrap/>
            <w:vAlign w:val="center"/>
            <w:hideMark/>
          </w:tcPr>
          <w:p w:rsidR="007211DE" w:rsidRPr="007E6DE2" w:rsidRDefault="007211DE" w:rsidP="00A62BA1">
            <w:pPr>
              <w:spacing w:after="0"/>
              <w:rPr>
                <w:b/>
                <w:bCs/>
                <w:szCs w:val="22"/>
                <w:lang w:eastAsia="el-GR"/>
              </w:rPr>
            </w:pPr>
            <w:r w:rsidRPr="007E6DE2">
              <w:rPr>
                <w:b/>
                <w:bCs/>
                <w:szCs w:val="22"/>
                <w:lang w:eastAsia="el-GR"/>
              </w:rPr>
              <w:t>ΕΙΔΟΣ ΕΡΓΑΣΙΑΣ</w:t>
            </w:r>
          </w:p>
        </w:tc>
        <w:tc>
          <w:tcPr>
            <w:tcW w:w="851" w:type="dxa"/>
            <w:vAlign w:val="center"/>
          </w:tcPr>
          <w:p w:rsidR="007211DE" w:rsidRPr="007E6DE2" w:rsidRDefault="007211DE" w:rsidP="00A62BA1">
            <w:pPr>
              <w:spacing w:after="0"/>
              <w:jc w:val="center"/>
              <w:rPr>
                <w:b/>
                <w:bCs/>
                <w:szCs w:val="22"/>
                <w:lang w:eastAsia="el-GR"/>
              </w:rPr>
            </w:pPr>
            <w:r w:rsidRPr="007E6DE2">
              <w:rPr>
                <w:b/>
                <w:bCs/>
                <w:szCs w:val="22"/>
                <w:lang w:eastAsia="el-GR"/>
              </w:rPr>
              <w:t>Μ.Μ.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1DE" w:rsidRPr="007E6DE2" w:rsidRDefault="007211DE" w:rsidP="00A62BA1">
            <w:pPr>
              <w:spacing w:after="0"/>
              <w:jc w:val="center"/>
              <w:rPr>
                <w:b/>
                <w:bCs/>
                <w:szCs w:val="22"/>
                <w:lang w:eastAsia="el-GR"/>
              </w:rPr>
            </w:pPr>
            <w:r w:rsidRPr="007E6DE2">
              <w:rPr>
                <w:b/>
                <w:bCs/>
                <w:szCs w:val="22"/>
                <w:lang w:eastAsia="el-GR"/>
              </w:rPr>
              <w:t>ΠΟΣΟΤΗΤΑ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211DE" w:rsidRPr="007E6DE2" w:rsidRDefault="007211DE" w:rsidP="00A62BA1">
            <w:pPr>
              <w:spacing w:after="0"/>
              <w:jc w:val="center"/>
              <w:rPr>
                <w:b/>
                <w:bCs/>
                <w:szCs w:val="22"/>
                <w:lang w:eastAsia="el-GR"/>
              </w:rPr>
            </w:pPr>
            <w:r w:rsidRPr="007E6DE2">
              <w:rPr>
                <w:b/>
                <w:bCs/>
                <w:lang w:eastAsia="el-GR"/>
              </w:rPr>
              <w:t>ΤΙΜΗ Μ</w:t>
            </w:r>
            <w:r>
              <w:rPr>
                <w:b/>
                <w:bCs/>
                <w:lang w:eastAsia="el-GR"/>
              </w:rPr>
              <w:t xml:space="preserve">.Μ </w:t>
            </w:r>
            <w:r w:rsidRPr="007E6DE2">
              <w:rPr>
                <w:b/>
                <w:bCs/>
                <w:lang w:eastAsia="el-GR"/>
              </w:rPr>
              <w:t>(€)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211DE" w:rsidRPr="007E6DE2" w:rsidRDefault="007211DE" w:rsidP="00A62BA1">
            <w:pPr>
              <w:spacing w:after="0"/>
              <w:jc w:val="center"/>
              <w:rPr>
                <w:b/>
                <w:bCs/>
                <w:szCs w:val="22"/>
                <w:lang w:eastAsia="el-GR"/>
              </w:rPr>
            </w:pPr>
            <w:r>
              <w:rPr>
                <w:b/>
                <w:bCs/>
                <w:lang w:eastAsia="el-GR"/>
              </w:rPr>
              <w:t xml:space="preserve">ΑΞΙΑ </w:t>
            </w:r>
            <w:r w:rsidRPr="007E6DE2">
              <w:rPr>
                <w:b/>
                <w:bCs/>
                <w:lang w:eastAsia="el-GR"/>
              </w:rPr>
              <w:t>(€)</w:t>
            </w:r>
          </w:p>
        </w:tc>
      </w:tr>
      <w:tr w:rsidR="007211DE" w:rsidRPr="007E6DE2" w:rsidTr="00A62BA1">
        <w:trPr>
          <w:jc w:val="center"/>
        </w:trPr>
        <w:tc>
          <w:tcPr>
            <w:tcW w:w="672" w:type="dxa"/>
            <w:shd w:val="clear" w:color="auto" w:fill="auto"/>
            <w:noWrap/>
            <w:vAlign w:val="center"/>
            <w:hideMark/>
          </w:tcPr>
          <w:p w:rsidR="007211DE" w:rsidRPr="007E6DE2" w:rsidRDefault="007211DE" w:rsidP="00A62BA1">
            <w:pPr>
              <w:spacing w:after="0"/>
              <w:rPr>
                <w:szCs w:val="22"/>
                <w:lang w:eastAsia="el-GR"/>
              </w:rPr>
            </w:pPr>
            <w:r w:rsidRPr="007E6DE2">
              <w:rPr>
                <w:szCs w:val="22"/>
                <w:lang w:eastAsia="el-GR"/>
              </w:rPr>
              <w:t>1</w:t>
            </w:r>
          </w:p>
        </w:tc>
        <w:tc>
          <w:tcPr>
            <w:tcW w:w="3298" w:type="dxa"/>
            <w:shd w:val="clear" w:color="auto" w:fill="auto"/>
            <w:noWrap/>
            <w:vAlign w:val="bottom"/>
          </w:tcPr>
          <w:p w:rsidR="007211DE" w:rsidRPr="007E6DE2" w:rsidRDefault="007211DE" w:rsidP="00A62BA1">
            <w:pPr>
              <w:spacing w:after="0"/>
              <w:jc w:val="left"/>
              <w:rPr>
                <w:i/>
                <w:iCs/>
                <w:szCs w:val="22"/>
                <w:lang w:val="el-GR" w:eastAsia="el-GR"/>
              </w:rPr>
            </w:pPr>
            <w:r w:rsidRPr="007E6DE2">
              <w:rPr>
                <w:rFonts w:eastAsia="Arial"/>
                <w:szCs w:val="22"/>
                <w:lang w:val="el-GR"/>
              </w:rPr>
              <w:t xml:space="preserve">ΕΦΑΡΜΟΓΗ ΒΙΟΕΝΙΣΧΥΣΗΣ ΚΑΙ ΔΙΑΧΕΙΡΙΣΗ ΜΗ ΕΠΙΚΙΝΔΥΝΩΝ ΑΠΟΒΛΗΤΩΝ ΤΗΣ Ε.Ε.Λ. </w:t>
            </w:r>
            <w:r>
              <w:rPr>
                <w:rFonts w:eastAsia="Arial"/>
                <w:szCs w:val="22"/>
                <w:lang w:val="el-GR"/>
              </w:rPr>
              <w:t>ΑΓΡΙΝΙΟΥ</w:t>
            </w:r>
          </w:p>
        </w:tc>
        <w:tc>
          <w:tcPr>
            <w:tcW w:w="851" w:type="dxa"/>
            <w:vAlign w:val="center"/>
          </w:tcPr>
          <w:p w:rsidR="007211DE" w:rsidRPr="007E6DE2" w:rsidRDefault="007211DE" w:rsidP="00A62BA1">
            <w:pPr>
              <w:spacing w:after="0"/>
              <w:jc w:val="center"/>
              <w:rPr>
                <w:szCs w:val="22"/>
                <w:lang w:eastAsia="el-GR"/>
              </w:rPr>
            </w:pPr>
            <w:proofErr w:type="spellStart"/>
            <w:r w:rsidRPr="007E6DE2">
              <w:rPr>
                <w:szCs w:val="22"/>
                <w:lang w:eastAsia="el-GR"/>
              </w:rPr>
              <w:t>Μήνας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11DE" w:rsidRPr="007E6DE2" w:rsidRDefault="007211DE" w:rsidP="00A62BA1">
            <w:pPr>
              <w:spacing w:after="0"/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211DE" w:rsidRPr="007E6DE2" w:rsidRDefault="007211DE" w:rsidP="00A62BA1">
            <w:pPr>
              <w:spacing w:after="0"/>
              <w:jc w:val="center"/>
              <w:rPr>
                <w:szCs w:val="22"/>
                <w:lang w:eastAsia="el-GR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211DE" w:rsidRPr="007E6DE2" w:rsidRDefault="007211DE" w:rsidP="00A62BA1">
            <w:pPr>
              <w:spacing w:after="0"/>
              <w:jc w:val="center"/>
              <w:rPr>
                <w:szCs w:val="22"/>
                <w:lang w:eastAsia="el-GR"/>
              </w:rPr>
            </w:pPr>
          </w:p>
        </w:tc>
      </w:tr>
      <w:tr w:rsidR="007211DE" w:rsidRPr="007E6DE2" w:rsidTr="00A62BA1">
        <w:trPr>
          <w:jc w:val="center"/>
        </w:trPr>
        <w:tc>
          <w:tcPr>
            <w:tcW w:w="8223" w:type="dxa"/>
            <w:gridSpan w:val="5"/>
            <w:shd w:val="clear" w:color="auto" w:fill="auto"/>
            <w:noWrap/>
            <w:vAlign w:val="center"/>
            <w:hideMark/>
          </w:tcPr>
          <w:p w:rsidR="007211DE" w:rsidRPr="007E6DE2" w:rsidRDefault="007211DE" w:rsidP="00A62BA1">
            <w:pPr>
              <w:spacing w:after="0"/>
              <w:rPr>
                <w:szCs w:val="22"/>
                <w:lang w:val="el-GR" w:eastAsia="el-GR"/>
              </w:rPr>
            </w:pPr>
            <w:r w:rsidRPr="007E6DE2">
              <w:rPr>
                <w:b/>
                <w:bCs/>
                <w:szCs w:val="22"/>
                <w:lang w:eastAsia="el-GR"/>
              </w:rPr>
              <w:t xml:space="preserve">ΣΥΝΟΛΙΚΗ </w:t>
            </w:r>
            <w:r w:rsidRPr="007E6DE2">
              <w:rPr>
                <w:b/>
                <w:bCs/>
                <w:szCs w:val="22"/>
                <w:lang w:val="el-GR" w:eastAsia="el-GR"/>
              </w:rPr>
              <w:t>ΚΑΘΑΡΗ ΑΞΙΑ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211DE" w:rsidRPr="007E6DE2" w:rsidRDefault="007211DE" w:rsidP="00A62BA1">
            <w:pPr>
              <w:spacing w:after="0"/>
              <w:jc w:val="center"/>
              <w:rPr>
                <w:szCs w:val="22"/>
                <w:lang w:eastAsia="el-GR"/>
              </w:rPr>
            </w:pPr>
          </w:p>
        </w:tc>
      </w:tr>
      <w:tr w:rsidR="007211DE" w:rsidRPr="007E6DE2" w:rsidTr="00A62BA1">
        <w:trPr>
          <w:jc w:val="center"/>
        </w:trPr>
        <w:tc>
          <w:tcPr>
            <w:tcW w:w="8223" w:type="dxa"/>
            <w:gridSpan w:val="5"/>
            <w:shd w:val="clear" w:color="auto" w:fill="auto"/>
            <w:noWrap/>
            <w:vAlign w:val="center"/>
          </w:tcPr>
          <w:p w:rsidR="007211DE" w:rsidRPr="007E6DE2" w:rsidRDefault="007211DE" w:rsidP="00A62BA1">
            <w:pPr>
              <w:spacing w:after="0"/>
              <w:rPr>
                <w:szCs w:val="22"/>
                <w:lang w:eastAsia="el-GR"/>
              </w:rPr>
            </w:pPr>
            <w:r w:rsidRPr="007E6DE2">
              <w:rPr>
                <w:szCs w:val="22"/>
                <w:lang w:eastAsia="el-GR"/>
              </w:rPr>
              <w:t>ΦΠΑ (24%)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211DE" w:rsidRPr="007E6DE2" w:rsidRDefault="007211DE" w:rsidP="00A62BA1">
            <w:pPr>
              <w:spacing w:after="0"/>
              <w:jc w:val="center"/>
              <w:rPr>
                <w:szCs w:val="22"/>
                <w:lang w:eastAsia="el-GR"/>
              </w:rPr>
            </w:pPr>
          </w:p>
        </w:tc>
      </w:tr>
      <w:tr w:rsidR="007211DE" w:rsidRPr="007E6DE2" w:rsidTr="00A62BA1">
        <w:trPr>
          <w:jc w:val="center"/>
        </w:trPr>
        <w:tc>
          <w:tcPr>
            <w:tcW w:w="8223" w:type="dxa"/>
            <w:gridSpan w:val="5"/>
            <w:shd w:val="clear" w:color="auto" w:fill="auto"/>
            <w:noWrap/>
            <w:vAlign w:val="center"/>
          </w:tcPr>
          <w:p w:rsidR="007211DE" w:rsidRPr="007E6DE2" w:rsidRDefault="007211DE" w:rsidP="00A62BA1">
            <w:pPr>
              <w:spacing w:after="0"/>
              <w:rPr>
                <w:b/>
                <w:bCs/>
                <w:szCs w:val="22"/>
                <w:lang w:val="el-GR" w:eastAsia="el-GR"/>
              </w:rPr>
            </w:pPr>
            <w:r w:rsidRPr="007E6DE2">
              <w:rPr>
                <w:b/>
                <w:bCs/>
                <w:szCs w:val="22"/>
                <w:lang w:val="el-GR" w:eastAsia="el-GR"/>
              </w:rPr>
              <w:t>ΣΥΝΟΛΙΚΗ ΔΑΠΑΝΗ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7211DE" w:rsidRPr="007E6DE2" w:rsidRDefault="007211DE" w:rsidP="00A62BA1">
            <w:pPr>
              <w:spacing w:after="0"/>
              <w:jc w:val="center"/>
              <w:rPr>
                <w:szCs w:val="22"/>
                <w:lang w:eastAsia="el-GR"/>
              </w:rPr>
            </w:pPr>
          </w:p>
        </w:tc>
      </w:tr>
    </w:tbl>
    <w:p w:rsidR="007211DE" w:rsidRPr="007E6DE2" w:rsidRDefault="007211DE" w:rsidP="007211DE">
      <w:pPr>
        <w:rPr>
          <w:b/>
          <w:bCs/>
        </w:rPr>
      </w:pPr>
    </w:p>
    <w:p w:rsidR="007211DE" w:rsidRPr="00FC2ED7" w:rsidRDefault="007211DE" w:rsidP="007211DE">
      <w:pPr>
        <w:jc w:val="left"/>
        <w:rPr>
          <w:lang w:val="el-GR"/>
        </w:rPr>
      </w:pPr>
      <w:r>
        <w:rPr>
          <w:b/>
          <w:bCs/>
          <w:lang w:val="el-GR"/>
        </w:rPr>
        <w:t xml:space="preserve">ΣΥΝΟΛΙΚΗ ΔΑΠΑΝΗ </w:t>
      </w:r>
      <w:r w:rsidRPr="00391385">
        <w:rPr>
          <w:lang w:val="el-GR"/>
        </w:rPr>
        <w:t>(ολογράφως):...............................................................................................</w:t>
      </w:r>
    </w:p>
    <w:p w:rsidR="007211DE" w:rsidRPr="00DF09FB" w:rsidRDefault="007211DE" w:rsidP="007211DE">
      <w:pPr>
        <w:tabs>
          <w:tab w:val="right" w:pos="9214"/>
        </w:tabs>
        <w:spacing w:before="240"/>
        <w:rPr>
          <w:b/>
          <w:bCs/>
          <w:lang w:val="el-GR"/>
        </w:rPr>
      </w:pPr>
      <w:r w:rsidRPr="007E6DE2">
        <w:rPr>
          <w:b/>
          <w:bCs/>
          <w:lang w:val="el-GR"/>
        </w:rPr>
        <w:tab/>
      </w:r>
      <w:r w:rsidRPr="007E6DE2">
        <w:rPr>
          <w:b/>
          <w:bCs/>
        </w:rPr>
        <w:t>/     /202</w:t>
      </w:r>
      <w:r>
        <w:rPr>
          <w:b/>
          <w:bCs/>
          <w:lang w:val="el-GR"/>
        </w:rPr>
        <w:t>4</w:t>
      </w:r>
    </w:p>
    <w:p w:rsidR="007211DE" w:rsidRDefault="007211DE" w:rsidP="007211DE">
      <w:pPr>
        <w:tabs>
          <w:tab w:val="right" w:pos="8789"/>
        </w:tabs>
        <w:rPr>
          <w:b/>
          <w:bCs/>
          <w:lang w:val="el-GR"/>
        </w:rPr>
      </w:pPr>
    </w:p>
    <w:p w:rsidR="007211DE" w:rsidRPr="00190023" w:rsidRDefault="007211DE" w:rsidP="007211DE">
      <w:pPr>
        <w:tabs>
          <w:tab w:val="right" w:pos="8789"/>
        </w:tabs>
        <w:rPr>
          <w:lang w:val="el-GR"/>
        </w:rPr>
      </w:pPr>
      <w:r w:rsidRPr="007211DE">
        <w:rPr>
          <w:b/>
          <w:bCs/>
          <w:lang w:val="el-GR"/>
        </w:rPr>
        <w:tab/>
      </w:r>
      <w:r w:rsidRPr="00B907D8">
        <w:rPr>
          <w:b/>
          <w:bCs/>
          <w:lang w:val="el-GR"/>
        </w:rPr>
        <w:t>Ο ΝΟΜΙΜΟΣ ΕΚΠΡΟΣΩΠΟΣ ΤΟΥ ΠΡΟΣΦΕΡΟΝΤΟΣ ΟΙΚΟΝΟΜΙΚΟΥ ΦΟΡΕΑ</w:t>
      </w:r>
    </w:p>
    <w:p w:rsidR="000806F3" w:rsidRPr="007211DE" w:rsidRDefault="000806F3">
      <w:pPr>
        <w:rPr>
          <w:lang w:val="el-GR"/>
        </w:rPr>
      </w:pPr>
    </w:p>
    <w:sectPr w:rsidR="000806F3" w:rsidRPr="007211DE" w:rsidSect="009A162A">
      <w:pgSz w:w="11906" w:h="16838" w:code="9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7211DE"/>
    <w:rsid w:val="000806F3"/>
    <w:rsid w:val="0072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D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">
    <w:name w:val="heading 3"/>
    <w:basedOn w:val="a"/>
    <w:next w:val="a"/>
    <w:link w:val="3Char"/>
    <w:qFormat/>
    <w:rsid w:val="007211DE"/>
    <w:pPr>
      <w:keepNext/>
      <w:spacing w:before="240" w:after="60"/>
      <w:ind w:left="567" w:hanging="567"/>
      <w:outlineLvl w:val="2"/>
    </w:pPr>
    <w:rPr>
      <w:rFonts w:cs="Times New Roman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211DE"/>
    <w:rPr>
      <w:rFonts w:ascii="Calibri" w:eastAsia="Times New Roman" w:hAnsi="Calibri" w:cs="Times New Roman"/>
      <w:b/>
      <w:bCs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Company>HP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2024-04-25T10:05:00Z</dcterms:created>
  <dcterms:modified xsi:type="dcterms:W3CDTF">2024-04-25T10:06:00Z</dcterms:modified>
</cp:coreProperties>
</file>